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74E" w:rsidRPr="00692174" w:rsidRDefault="0000674E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E058F" w:rsidRDefault="00D436C7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</w:t>
      </w:r>
      <w:r w:rsidR="00627C82" w:rsidRPr="0012073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общественные территории</w:t>
      </w:r>
      <w:r w:rsidR="00627C82" w:rsidRPr="001207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54DF" w:rsidRPr="009A076E">
        <w:rPr>
          <w:rFonts w:ascii="Times New Roman" w:eastAsia="Times New Roman" w:hAnsi="Times New Roman" w:cs="Times New Roman"/>
          <w:sz w:val="28"/>
          <w:szCs w:val="24"/>
        </w:rPr>
        <w:t>индивидуальных жилых домов и земельных участков, предоставленных для их размещения</w:t>
      </w:r>
      <w:r w:rsidR="009E058F" w:rsidRPr="009E05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058F">
        <w:rPr>
          <w:rFonts w:ascii="Times New Roman" w:eastAsia="Times New Roman" w:hAnsi="Times New Roman" w:cs="Times New Roman"/>
          <w:sz w:val="28"/>
          <w:szCs w:val="24"/>
        </w:rPr>
        <w:t>(включая объекты блокированной застройки)</w:t>
      </w:r>
      <w:r w:rsidR="00D154DF" w:rsidRPr="009A076E">
        <w:rPr>
          <w:rFonts w:ascii="Times New Roman" w:eastAsia="Times New Roman" w:hAnsi="Times New Roman" w:cs="Times New Roman"/>
          <w:sz w:val="28"/>
          <w:szCs w:val="24"/>
        </w:rPr>
        <w:t>,</w:t>
      </w:r>
      <w:r w:rsidR="00175474" w:rsidRPr="009A0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="00795EB2" w:rsidRPr="0012073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42FC5" w:rsidRPr="00120738">
        <w:rPr>
          <w:rFonts w:ascii="Times New Roman" w:eastAsia="Times New Roman" w:hAnsi="Times New Roman" w:cs="Times New Roman"/>
          <w:sz w:val="28"/>
          <w:szCs w:val="24"/>
        </w:rPr>
        <w:t>о</w:t>
      </w:r>
      <w:r w:rsidR="00D42FC5" w:rsidRPr="009A076E">
        <w:rPr>
          <w:rFonts w:ascii="Times New Roman" w:eastAsia="Times New Roman" w:hAnsi="Times New Roman" w:cs="Times New Roman"/>
          <w:sz w:val="28"/>
          <w:szCs w:val="24"/>
        </w:rPr>
        <w:t>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(далее</w:t>
      </w:r>
      <w:r w:rsidR="009E058F" w:rsidRPr="009E05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058F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D42FC5" w:rsidRPr="009A076E">
        <w:rPr>
          <w:rFonts w:ascii="Times New Roman" w:eastAsia="Times New Roman" w:hAnsi="Times New Roman" w:cs="Times New Roman"/>
          <w:sz w:val="28"/>
          <w:szCs w:val="24"/>
        </w:rPr>
        <w:t>Объекты)</w:t>
      </w:r>
      <w:r w:rsidR="009E058F">
        <w:rPr>
          <w:rFonts w:ascii="Times New Roman" w:eastAsia="Times New Roman" w:hAnsi="Times New Roman" w:cs="Times New Roman"/>
          <w:sz w:val="28"/>
          <w:szCs w:val="24"/>
        </w:rPr>
        <w:t>,</w:t>
      </w:r>
      <w:r w:rsidR="00D42FC5" w:rsidRPr="009A0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95EB2" w:rsidRPr="00120738">
        <w:rPr>
          <w:rFonts w:ascii="Times New Roman" w:eastAsia="Times New Roman" w:hAnsi="Times New Roman" w:cs="Times New Roman"/>
          <w:sz w:val="28"/>
          <w:szCs w:val="24"/>
        </w:rPr>
        <w:t>вне зависимости от участия в программе благоустройства муниципального образования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512B" w:rsidRPr="001207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3C4A" w:rsidRPr="00120738" w:rsidRDefault="00821D08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>Для целей настоящих Рекомендаций под дворовой территорией понимается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благоустройства и общественного пользования.</w:t>
      </w:r>
    </w:p>
    <w:p w:rsidR="009E058F" w:rsidRDefault="00821D08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9B3">
        <w:rPr>
          <w:rFonts w:ascii="Times New Roman" w:eastAsia="Times New Roman" w:hAnsi="Times New Roman" w:cs="Times New Roman"/>
          <w:sz w:val="28"/>
          <w:szCs w:val="24"/>
        </w:rPr>
        <w:t>Для целей настоящих Рекомендаций под общественными территориями понимаются участки, иные части территории муниципального образования,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назначения, соответствующего функционального назначения (площадей, набережных, улиц, пешеходных зон, скверов, парков, иных территорий</w:t>
      </w:r>
      <w:r w:rsidR="009E058F" w:rsidRPr="009E058F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076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95EB2" w:rsidRDefault="009B4D54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</w:t>
      </w:r>
      <w:r w:rsidR="00795EB2" w:rsidRPr="00120738">
        <w:rPr>
          <w:rFonts w:ascii="Times New Roman" w:eastAsia="Times New Roman" w:hAnsi="Times New Roman" w:cs="Times New Roman"/>
          <w:sz w:val="28"/>
          <w:szCs w:val="24"/>
        </w:rPr>
        <w:t xml:space="preserve">формирования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перечня дворовых</w:t>
      </w:r>
      <w:r w:rsidR="00795E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и общественных территорий, </w:t>
      </w:r>
      <w:r w:rsidR="00795EB2" w:rsidRPr="00120738">
        <w:rPr>
          <w:rFonts w:ascii="Times New Roman" w:eastAsia="Times New Roman" w:hAnsi="Times New Roman" w:cs="Times New Roman"/>
          <w:sz w:val="28"/>
          <w:szCs w:val="24"/>
        </w:rPr>
        <w:t xml:space="preserve">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оценки их состояния, выявление территорий, требующих благоустройства</w:t>
      </w:r>
      <w:r w:rsidR="00795EB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795EB2" w:rsidRPr="00DF20DB">
        <w:rPr>
          <w:rFonts w:ascii="Times New Roman" w:eastAsia="Times New Roman" w:hAnsi="Times New Roman" w:cs="Times New Roman"/>
          <w:sz w:val="28"/>
          <w:szCs w:val="24"/>
        </w:rPr>
        <w:t>составление паспо</w:t>
      </w:r>
      <w:r w:rsidR="00795EB2" w:rsidRPr="00795EB2">
        <w:rPr>
          <w:rFonts w:ascii="Times New Roman" w:eastAsia="Times New Roman" w:hAnsi="Times New Roman" w:cs="Times New Roman"/>
          <w:sz w:val="28"/>
          <w:szCs w:val="24"/>
        </w:rPr>
        <w:t xml:space="preserve">ртов благоустройства </w:t>
      </w:r>
      <w:r w:rsidR="00D42FC5">
        <w:rPr>
          <w:rFonts w:ascii="Times New Roman" w:eastAsia="Times New Roman" w:hAnsi="Times New Roman" w:cs="Times New Roman"/>
          <w:sz w:val="28"/>
          <w:szCs w:val="24"/>
        </w:rPr>
        <w:t>Объектов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3495" w:rsidRDefault="00795EB2" w:rsidP="00143495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При проведении инвентаризации из перечня инвентаризируемых объектов исключаются </w:t>
      </w:r>
      <w:r w:rsidR="00143495" w:rsidRPr="00143495">
        <w:rPr>
          <w:rFonts w:ascii="Times New Roman" w:eastAsia="Times New Roman" w:hAnsi="Times New Roman" w:cs="Times New Roman"/>
          <w:sz w:val="28"/>
          <w:szCs w:val="24"/>
        </w:rPr>
        <w:t>следующие объекты:</w:t>
      </w:r>
      <w:r w:rsidRPr="00795E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43495" w:rsidRDefault="00795EB2" w:rsidP="001434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5EB2">
        <w:rPr>
          <w:rFonts w:ascii="Times New Roman" w:eastAsia="Times New Roman" w:hAnsi="Times New Roman" w:cs="Times New Roman"/>
          <w:sz w:val="28"/>
          <w:szCs w:val="24"/>
        </w:rPr>
        <w:t>закрыт</w:t>
      </w:r>
      <w:r>
        <w:rPr>
          <w:rFonts w:ascii="Times New Roman" w:eastAsia="Times New Roman" w:hAnsi="Times New Roman" w:cs="Times New Roman"/>
          <w:sz w:val="28"/>
          <w:szCs w:val="24"/>
        </w:rPr>
        <w:t>ые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95EB2">
        <w:rPr>
          <w:rFonts w:ascii="Times New Roman" w:eastAsia="Times New Roman" w:hAnsi="Times New Roman" w:cs="Times New Roman"/>
          <w:sz w:val="28"/>
          <w:szCs w:val="24"/>
        </w:rPr>
        <w:t>административно-территориальные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образования</w:t>
      </w:r>
      <w:r w:rsidR="0014349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43495" w:rsidRDefault="00795EB2" w:rsidP="001434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территории военных частей</w:t>
      </w:r>
      <w:r w:rsidR="0014349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E4D71" w:rsidRDefault="00795EB2" w:rsidP="001434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иные территории, </w:t>
      </w:r>
      <w:r w:rsidRPr="00DF20DB">
        <w:rPr>
          <w:rFonts w:ascii="Times New Roman" w:eastAsia="Times New Roman" w:hAnsi="Times New Roman" w:cs="Times New Roman"/>
          <w:sz w:val="28"/>
          <w:szCs w:val="24"/>
        </w:rPr>
        <w:t xml:space="preserve">доступ на которые ограничен </w:t>
      </w:r>
      <w:r w:rsidRPr="00795EB2">
        <w:rPr>
          <w:rFonts w:ascii="Times New Roman" w:eastAsia="Times New Roman" w:hAnsi="Times New Roman" w:cs="Times New Roman"/>
          <w:sz w:val="28"/>
          <w:szCs w:val="24"/>
        </w:rPr>
        <w:t>в соответствии с требованиями</w:t>
      </w:r>
      <w:r w:rsidRPr="00DF20DB">
        <w:rPr>
          <w:rFonts w:ascii="Times New Roman" w:eastAsia="Times New Roman" w:hAnsi="Times New Roman" w:cs="Times New Roman"/>
          <w:sz w:val="28"/>
          <w:szCs w:val="24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BE4D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95EB2" w:rsidRDefault="00D42FC5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Объекты, </w:t>
      </w:r>
      <w:r w:rsidR="00BE4D71">
        <w:rPr>
          <w:rFonts w:ascii="Times New Roman" w:eastAsia="Times New Roman" w:hAnsi="Times New Roman" w:cs="Times New Roman"/>
          <w:sz w:val="28"/>
          <w:szCs w:val="24"/>
        </w:rPr>
        <w:t xml:space="preserve">находящиеся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полностью или частично на земельных участках, находящихся в пользовании </w:t>
      </w:r>
      <w:r w:rsidR="00BE4D71">
        <w:rPr>
          <w:rFonts w:ascii="Times New Roman" w:eastAsia="Times New Roman" w:hAnsi="Times New Roman" w:cs="Times New Roman"/>
          <w:sz w:val="28"/>
          <w:szCs w:val="24"/>
        </w:rPr>
        <w:t>Министерства обороны Российской Федерации, также подлежат инвентаризации.</w:t>
      </w:r>
    </w:p>
    <w:p w:rsidR="00BE4D71" w:rsidRPr="00120738" w:rsidRDefault="00BE4D71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Неразмежеванные участки также подлежат инвентаризации в соответствии с настоящими рекомендациями.</w:t>
      </w:r>
    </w:p>
    <w:p w:rsidR="00AE3AC8" w:rsidRPr="00692174" w:rsidRDefault="00AE3AC8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0F00DF" w:rsidRPr="008D2BE0" w:rsidRDefault="003E1872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8F3230" w:rsidRDefault="0000674E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5B77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</w:t>
      </w:r>
      <w:r w:rsidR="00417BA1">
        <w:rPr>
          <w:rFonts w:ascii="Times New Roman" w:eastAsia="Times New Roman" w:hAnsi="Times New Roman" w:cs="Times New Roman"/>
          <w:sz w:val="28"/>
          <w:szCs w:val="24"/>
        </w:rPr>
        <w:t>.</w:t>
      </w:r>
      <w:r w:rsidR="000F00DF" w:rsidRPr="007A5B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7BA1">
        <w:rPr>
          <w:rFonts w:ascii="Times New Roman" w:eastAsia="Times New Roman" w:hAnsi="Times New Roman" w:cs="Times New Roman"/>
          <w:sz w:val="28"/>
          <w:szCs w:val="24"/>
        </w:rPr>
        <w:t>Р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 xml:space="preserve">екомендуется </w:t>
      </w:r>
      <w:r w:rsidR="00284A35">
        <w:rPr>
          <w:rFonts w:ascii="Times New Roman" w:eastAsia="Times New Roman" w:hAnsi="Times New Roman" w:cs="Times New Roman"/>
          <w:sz w:val="28"/>
          <w:szCs w:val="24"/>
        </w:rPr>
        <w:t xml:space="preserve">указывать 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 xml:space="preserve">координаты центра двора и координаты границы дворовой территории в системах координат 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>(например</w:t>
      </w:r>
      <w:r w:rsidR="008F3230">
        <w:rPr>
          <w:rFonts w:ascii="Times New Roman" w:eastAsia="Times New Roman" w:hAnsi="Times New Roman" w:cs="Times New Roman"/>
          <w:sz w:val="28"/>
          <w:szCs w:val="24"/>
        </w:rPr>
        <w:t>,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 xml:space="preserve"> в системах координат 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>)</w:t>
      </w:r>
      <w:r w:rsidR="008F3230" w:rsidRPr="008F32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692174" w:rsidRDefault="004900B7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D2BE0" w:rsidRPr="009A076E" w:rsidRDefault="008D2BE0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00674E" w:rsidRPr="00692174" w:rsidRDefault="0000674E" w:rsidP="0012073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692174" w:rsidRDefault="0000674E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9A076E" w:rsidRDefault="0000674E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076E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9A076E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771283" w:rsidRPr="00147D0F" w:rsidRDefault="00771283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:rsidR="00E07FF3" w:rsidRPr="00147D0F" w:rsidRDefault="00E07FF3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В ходе проведения инвентаризации необходимо описать все элементы благоустройства, расположенные в пределах дворовой территории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>,</w:t>
      </w:r>
      <w:r w:rsidR="00CE70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>в соответстви</w:t>
      </w:r>
      <w:r w:rsidR="00CE703C">
        <w:rPr>
          <w:rFonts w:ascii="Times New Roman" w:eastAsia="Times New Roman" w:hAnsi="Times New Roman" w:cs="Times New Roman"/>
          <w:sz w:val="28"/>
          <w:szCs w:val="24"/>
        </w:rPr>
        <w:t>и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 с Приложением №</w:t>
      </w:r>
      <w:r w:rsidR="006513B3" w:rsidRPr="006513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>1</w:t>
      </w:r>
      <w:r w:rsidR="006513B3" w:rsidRPr="006513B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0674E" w:rsidRPr="009A076E" w:rsidRDefault="0000674E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076E">
        <w:rPr>
          <w:rFonts w:ascii="Times New Roman" w:eastAsia="Times New Roman" w:hAnsi="Times New Roman" w:cs="Times New Roman"/>
          <w:sz w:val="28"/>
          <w:szCs w:val="24"/>
        </w:rPr>
        <w:t>По итогам проведения инвентаризации дворовой территории необходимо получить следующие характеристики:</w:t>
      </w:r>
    </w:p>
    <w:p w:rsidR="008336CD" w:rsidRPr="00120738" w:rsidRDefault="004F7760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границы дворовой территории с указанием координат центра двора и координат границы дворовой территории в </w:t>
      </w:r>
      <w:r w:rsidR="00CC6275" w:rsidRPr="00120738">
        <w:rPr>
          <w:rFonts w:ascii="Times New Roman" w:eastAsia="Times New Roman" w:hAnsi="Times New Roman" w:cs="Times New Roman"/>
          <w:sz w:val="28"/>
          <w:szCs w:val="24"/>
        </w:rPr>
        <w:t>системах координат</w:t>
      </w:r>
      <w:r w:rsidR="008336CD" w:rsidRPr="00120738">
        <w:rPr>
          <w:rFonts w:ascii="Times New Roman" w:eastAsia="Times New Roman" w:hAnsi="Times New Roman" w:cs="Times New Roman"/>
          <w:sz w:val="28"/>
          <w:szCs w:val="24"/>
        </w:rPr>
        <w:t xml:space="preserve"> (например, в системах координат WGS 1984 и СК-42);</w:t>
      </w:r>
    </w:p>
    <w:p w:rsidR="003E1872" w:rsidRDefault="003E1872" w:rsidP="008336C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</w:t>
      </w:r>
      <w:r w:rsidR="00927A38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со справочником </w:t>
      </w:r>
      <w:r w:rsidR="00DE4EAE">
        <w:rPr>
          <w:rFonts w:ascii="Times New Roman" w:eastAsia="Times New Roman" w:hAnsi="Times New Roman" w:cs="Times New Roman"/>
          <w:sz w:val="28"/>
          <w:szCs w:val="24"/>
        </w:rPr>
        <w:t xml:space="preserve">Федеральной информационной адресной системы (далее – </w:t>
      </w:r>
      <w:r w:rsidR="00927A38">
        <w:rPr>
          <w:rFonts w:ascii="Times New Roman" w:eastAsia="Times New Roman" w:hAnsi="Times New Roman" w:cs="Times New Roman"/>
          <w:sz w:val="28"/>
          <w:szCs w:val="24"/>
        </w:rPr>
        <w:t>ФИАС</w:t>
      </w:r>
      <w:r w:rsidR="00DE4EAE">
        <w:rPr>
          <w:rFonts w:ascii="Times New Roman" w:eastAsia="Times New Roman" w:hAnsi="Times New Roman" w:cs="Times New Roman"/>
          <w:sz w:val="28"/>
          <w:szCs w:val="24"/>
        </w:rPr>
        <w:t>)</w:t>
      </w:r>
      <w:r w:rsidR="00927A38">
        <w:rPr>
          <w:rFonts w:ascii="Times New Roman" w:eastAsia="Times New Roman" w:hAnsi="Times New Roman" w:cs="Times New Roman"/>
          <w:sz w:val="28"/>
          <w:szCs w:val="24"/>
        </w:rPr>
        <w:t xml:space="preserve">, при отсутствии адреса в ФИАС </w:t>
      </w:r>
      <w:r w:rsidR="00DE4EAE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 инициирует процедуру добавления адреса в справочник ФИАС в соответствии с требованиями по ведению справочника ФИАС, установленными Федеральной налоговой службой России;</w:t>
      </w:r>
    </w:p>
    <w:p w:rsidR="008D2BE0" w:rsidRPr="00147D0F" w:rsidRDefault="008D2BE0" w:rsidP="008336C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5613AE">
        <w:rPr>
          <w:rFonts w:ascii="Times New Roman" w:eastAsia="Times New Roman" w:hAnsi="Times New Roman" w:cs="Times New Roman"/>
          <w:sz w:val="28"/>
          <w:szCs w:val="24"/>
        </w:rPr>
        <w:t xml:space="preserve"> (не благоустраиваемая, а общая)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26C9F">
        <w:rPr>
          <w:rFonts w:ascii="Times New Roman" w:eastAsia="Times New Roman" w:hAnsi="Times New Roman" w:cs="Times New Roman"/>
          <w:sz w:val="28"/>
          <w:szCs w:val="24"/>
        </w:rPr>
        <w:t>округление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 до целого числа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</w:t>
      </w:r>
      <w:r w:rsidR="00E26C9F">
        <w:rPr>
          <w:rFonts w:ascii="Times New Roman" w:eastAsia="Times New Roman" w:hAnsi="Times New Roman" w:cs="Times New Roman"/>
          <w:sz w:val="28"/>
          <w:szCs w:val="24"/>
        </w:rPr>
        <w:t>, округленное до целого числа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расположенное в таком многоквартирном доме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 xml:space="preserve">, при этом указать один из вариантов: муниципальное, государственное, неразграниченное, </w:t>
      </w:r>
      <w:r w:rsidR="00C47494" w:rsidRPr="00C47494">
        <w:rPr>
          <w:rFonts w:ascii="Times New Roman" w:eastAsia="Times New Roman" w:hAnsi="Times New Roman" w:cs="Times New Roman"/>
          <w:sz w:val="28"/>
          <w:szCs w:val="24"/>
        </w:rPr>
        <w:t>частное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>, в форме общедомового имущества</w:t>
      </w:r>
      <w:r w:rsidR="00725A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25A60" w:rsidRPr="0074400A">
        <w:rPr>
          <w:rFonts w:ascii="Times New Roman" w:eastAsia="Times New Roman" w:hAnsi="Times New Roman" w:cs="Times New Roman"/>
          <w:sz w:val="28"/>
          <w:szCs w:val="24"/>
        </w:rPr>
        <w:t>с указанием адреса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 xml:space="preserve"> или общего имущества</w:t>
      </w:r>
      <w:r w:rsidR="00C47494" w:rsidRPr="00C47494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</w:t>
      </w:r>
      <w:r w:rsidR="00C47494" w:rsidRPr="008336CD">
        <w:rPr>
          <w:rFonts w:ascii="Times New Roman" w:eastAsia="Times New Roman" w:hAnsi="Times New Roman" w:cs="Times New Roman"/>
          <w:sz w:val="28"/>
          <w:szCs w:val="24"/>
        </w:rPr>
        <w:t xml:space="preserve"> с указанием адреса</w:t>
      </w:r>
      <w:r w:rsidR="00725A60">
        <w:rPr>
          <w:rFonts w:ascii="Times New Roman" w:eastAsia="Times New Roman" w:hAnsi="Times New Roman" w:cs="Times New Roman"/>
          <w:sz w:val="28"/>
          <w:szCs w:val="24"/>
        </w:rPr>
        <w:t>)</w:t>
      </w:r>
      <w:r w:rsidR="00C0602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перечень и описание элементов благоустройства, расположенных в пределах дворовой территории в соответствии с пунктом </w:t>
      </w:r>
      <w:r w:rsidR="008F583C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общественных территории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9A076E" w:rsidRDefault="00761852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076E">
        <w:rPr>
          <w:rFonts w:ascii="Times New Roman" w:eastAsia="Times New Roman" w:hAnsi="Times New Roman" w:cs="Times New Roman"/>
          <w:sz w:val="28"/>
          <w:szCs w:val="24"/>
        </w:rPr>
        <w:t>По итогам проведения инвентаризации общественной территории</w:t>
      </w:r>
      <w:r w:rsidR="00E37017" w:rsidRPr="009A076E">
        <w:rPr>
          <w:rFonts w:ascii="Times New Roman" w:eastAsia="Times New Roman" w:hAnsi="Times New Roman" w:cs="Times New Roman"/>
          <w:sz w:val="28"/>
          <w:szCs w:val="24"/>
        </w:rPr>
        <w:t xml:space="preserve">, в том числе находящейся на территории объектов индивидуального жилищного строительства,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>необходимо получить следующие характеристики:</w:t>
      </w:r>
    </w:p>
    <w:p w:rsidR="00761852" w:rsidRPr="009A076E" w:rsidRDefault="00FB0BD5" w:rsidP="009A076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оординаты центра общественной территории и координаты границы общественной территории </w:t>
      </w:r>
      <w:r w:rsidR="00CC6275" w:rsidRPr="00147D0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C6275" w:rsidRPr="00F37BD5">
        <w:rPr>
          <w:rFonts w:ascii="Times New Roman" w:eastAsia="Times New Roman" w:hAnsi="Times New Roman" w:cs="Times New Roman"/>
          <w:sz w:val="28"/>
          <w:szCs w:val="24"/>
        </w:rPr>
        <w:t>системах координат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 xml:space="preserve"> (например,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в системах координат </w:t>
      </w:r>
      <w:r w:rsidR="004608CA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076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</w:t>
      </w:r>
      <w:r w:rsidR="00D66A19">
        <w:rPr>
          <w:rFonts w:ascii="Times New Roman" w:eastAsia="Times New Roman" w:hAnsi="Times New Roman" w:cs="Times New Roman"/>
          <w:sz w:val="28"/>
          <w:szCs w:val="24"/>
        </w:rPr>
        <w:t>5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20738" w:rsidRDefault="00120738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66A19" w:rsidRDefault="00D66A19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объектов индивиду</w:t>
      </w:r>
      <w:r w:rsidR="00897D03">
        <w:rPr>
          <w:rFonts w:ascii="Times New Roman" w:eastAsia="Times New Roman" w:hAnsi="Times New Roman" w:cs="Times New Roman"/>
          <w:b/>
          <w:sz w:val="28"/>
          <w:szCs w:val="24"/>
        </w:rPr>
        <w:t>ального жилищного строительства</w:t>
      </w:r>
    </w:p>
    <w:p w:rsidR="00D66A19" w:rsidRPr="00120738" w:rsidRDefault="00D66A19" w:rsidP="00120738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A19" w:rsidRDefault="00D66A19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6A19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>виду ограниченного доступа к территориям и объектам, и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нвентаризация объектов индивидуального жилищного строительства проводится в упрощенном порядке.</w:t>
      </w:r>
    </w:p>
    <w:p w:rsidR="00D66A19" w:rsidRPr="00120738" w:rsidRDefault="00D66A19" w:rsidP="00417BA1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Инвентаризации подлеж</w:t>
      </w:r>
      <w:r w:rsidR="007724BC">
        <w:rPr>
          <w:rFonts w:ascii="Times New Roman" w:eastAsia="Times New Roman" w:hAnsi="Times New Roman" w:cs="Times New Roman"/>
          <w:sz w:val="28"/>
          <w:szCs w:val="24"/>
        </w:rPr>
        <w:t xml:space="preserve">ит внешний вид фасадов и ограждений, и прилегающая к объектам жилищного строительства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</w:t>
      </w:r>
      <w:r w:rsidR="007724BC">
        <w:rPr>
          <w:rFonts w:ascii="Times New Roman" w:eastAsia="Times New Roman" w:hAnsi="Times New Roman" w:cs="Times New Roman"/>
          <w:sz w:val="28"/>
          <w:szCs w:val="24"/>
        </w:rPr>
        <w:t>я</w:t>
      </w:r>
      <w:r w:rsidR="00897D03">
        <w:rPr>
          <w:rFonts w:ascii="Times New Roman" w:eastAsia="Times New Roman" w:hAnsi="Times New Roman" w:cs="Times New Roman"/>
          <w:sz w:val="28"/>
          <w:szCs w:val="24"/>
        </w:rPr>
        <w:t>, в том числе домов блокированной застройки.</w:t>
      </w:r>
      <w:r w:rsidR="00BB074A" w:rsidRPr="00417BA1">
        <w:rPr>
          <w:rFonts w:ascii="Times New Roman" w:eastAsia="Times New Roman" w:hAnsi="Times New Roman" w:cs="Times New Roman"/>
          <w:sz w:val="28"/>
          <w:szCs w:val="24"/>
        </w:rPr>
        <w:t xml:space="preserve"> По результатам мероприятия по инвентаризации уровня благоустройства индивидуальных жилых домов и земельных участков, предоставленных для их размещения, с собственниками (пользователями) указанных домов (собственниками (землепользователями) земельных участков должно быть заключено соглашений</w:t>
      </w:r>
      <w:r w:rsidR="00C45FBC" w:rsidRPr="00417BA1">
        <w:rPr>
          <w:rFonts w:ascii="Times New Roman" w:eastAsia="Times New Roman" w:hAnsi="Times New Roman" w:cs="Times New Roman"/>
          <w:sz w:val="28"/>
          <w:szCs w:val="24"/>
        </w:rPr>
        <w:t xml:space="preserve"> об и</w:t>
      </w:r>
      <w:r w:rsidR="00D263D4" w:rsidRPr="00417BA1">
        <w:rPr>
          <w:rFonts w:ascii="Times New Roman" w:eastAsia="Times New Roman" w:hAnsi="Times New Roman" w:cs="Times New Roman"/>
          <w:sz w:val="28"/>
          <w:szCs w:val="24"/>
        </w:rPr>
        <w:t>х</w:t>
      </w:r>
      <w:r w:rsidR="00C45FBC" w:rsidRPr="00417BA1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благоустройстве </w:t>
      </w:r>
      <w:r w:rsidR="00BB074A" w:rsidRPr="00417BA1">
        <w:rPr>
          <w:rFonts w:ascii="Times New Roman" w:eastAsia="Times New Roman" w:hAnsi="Times New Roman" w:cs="Times New Roman"/>
          <w:sz w:val="28"/>
          <w:szCs w:val="24"/>
        </w:rPr>
        <w:t xml:space="preserve">не позднее 2020 года в соответствии с требованиями утвержденных в муниципальном образовании правил благоустройства. </w:t>
      </w:r>
    </w:p>
    <w:p w:rsidR="00D66A19" w:rsidRPr="009A076E" w:rsidRDefault="00D66A19" w:rsidP="0012073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076E">
        <w:rPr>
          <w:rFonts w:ascii="Times New Roman" w:eastAsia="Times New Roman" w:hAnsi="Times New Roman" w:cs="Times New Roman"/>
          <w:sz w:val="28"/>
          <w:szCs w:val="24"/>
        </w:rPr>
        <w:t xml:space="preserve">По итогам проведения инвентаризации </w:t>
      </w:r>
      <w:r w:rsidR="007724BC" w:rsidRPr="009A076E">
        <w:rPr>
          <w:rFonts w:ascii="Times New Roman" w:eastAsia="Times New Roman" w:hAnsi="Times New Roman" w:cs="Times New Roman"/>
          <w:sz w:val="28"/>
          <w:szCs w:val="24"/>
        </w:rPr>
        <w:t>объектов индивидуального жилищного строительства</w:t>
      </w:r>
      <w:r w:rsidR="007724BC" w:rsidRPr="009A076E" w:rsidDel="007724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>необходимо получить следующие характеристики:</w:t>
      </w:r>
    </w:p>
    <w:p w:rsidR="007724BC" w:rsidRDefault="007724BC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состояние фасада объекта</w:t>
      </w:r>
      <w:r w:rsidRPr="004329B3">
        <w:rPr>
          <w:rFonts w:ascii="Times New Roman" w:eastAsia="Times New Roman" w:hAnsi="Times New Roman" w:cs="Times New Roman"/>
          <w:sz w:val="28"/>
          <w:szCs w:val="24"/>
        </w:rPr>
        <w:t xml:space="preserve">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>в нормативном состоянии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/не 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>в нормативном состоянии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BB074A" w:rsidRDefault="007724BC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состояние придомовой территории</w:t>
      </w:r>
      <w:r w:rsidRPr="007724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 xml:space="preserve">(требует </w:t>
      </w:r>
      <w:r>
        <w:rPr>
          <w:rFonts w:ascii="Times New Roman" w:eastAsia="Times New Roman" w:hAnsi="Times New Roman" w:cs="Times New Roman"/>
          <w:sz w:val="28"/>
          <w:szCs w:val="24"/>
        </w:rPr>
        <w:t>благоустройства /не требует благоустройства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>)</w:t>
      </w:r>
      <w:r w:rsidR="00E37017">
        <w:rPr>
          <w:rFonts w:ascii="Times New Roman" w:eastAsia="Times New Roman" w:hAnsi="Times New Roman" w:cs="Times New Roman"/>
          <w:sz w:val="28"/>
          <w:szCs w:val="24"/>
        </w:rPr>
        <w:t>;</w:t>
      </w:r>
      <w:r w:rsidR="00BB0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263D4" w:rsidRPr="00120738" w:rsidRDefault="007724BC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Pr="00BB074A">
        <w:rPr>
          <w:rFonts w:ascii="Times New Roman" w:eastAsia="Times New Roman" w:hAnsi="Times New Roman" w:cs="Times New Roman"/>
          <w:sz w:val="28"/>
          <w:szCs w:val="24"/>
        </w:rPr>
        <w:t xml:space="preserve">правообладателях </w:t>
      </w:r>
      <w:r w:rsidR="00BB074A" w:rsidRPr="00120738">
        <w:rPr>
          <w:rFonts w:ascii="Times New Roman" w:eastAsia="Times New Roman" w:hAnsi="Times New Roman" w:cs="Times New Roman"/>
          <w:sz w:val="28"/>
          <w:szCs w:val="24"/>
        </w:rPr>
        <w:t>объектов индивидуального жилищного строительства и придомовых земельных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участков</w:t>
      </w:r>
      <w:r w:rsidR="00E3701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B074A" w:rsidRPr="00120738" w:rsidRDefault="00D263D4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информация о подписании соглашения о благоустройстве </w:t>
      </w:r>
      <w:r>
        <w:rPr>
          <w:rFonts w:ascii="Times New Roman" w:hAnsi="Times New Roman" w:cs="Times New Roman"/>
          <w:sz w:val="28"/>
          <w:szCs w:val="28"/>
        </w:rPr>
        <w:t>с собственниками (пользователями) указанных домов</w:t>
      </w:r>
      <w:r w:rsidR="00B47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собственниками (землепользователями) земельных участков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(с приложением скан-копии заключенного соглашения) с указанием сроков завершения благоустройства либо информация об отказе в подписании указного соглашения; </w:t>
      </w:r>
    </w:p>
    <w:p w:rsidR="007724BC" w:rsidRPr="00692174" w:rsidRDefault="007724BC" w:rsidP="0012073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724BC" w:rsidRPr="00692174" w:rsidRDefault="007724BC" w:rsidP="0012073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540933">
        <w:rPr>
          <w:rFonts w:ascii="Times New Roman" w:eastAsia="Times New Roman" w:hAnsi="Times New Roman" w:cs="Times New Roman"/>
          <w:sz w:val="28"/>
          <w:szCs w:val="24"/>
        </w:rPr>
        <w:t xml:space="preserve"> на прилегающей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F4916" w:rsidRPr="00120738" w:rsidRDefault="00FF4916" w:rsidP="0012073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</w:p>
    <w:p w:rsidR="00D66A19" w:rsidRPr="00120738" w:rsidRDefault="00FF4916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b/>
          <w:sz w:val="28"/>
          <w:szCs w:val="24"/>
        </w:rPr>
        <w:t xml:space="preserve">Инвентаризация </w:t>
      </w:r>
      <w:r w:rsidRPr="00417BA1">
        <w:rPr>
          <w:rFonts w:ascii="Times New Roman" w:eastAsia="Times New Roman" w:hAnsi="Times New Roman" w:cs="Times New Roman"/>
          <w:b/>
          <w:sz w:val="28"/>
          <w:szCs w:val="24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</w:t>
      </w:r>
      <w:r w:rsidR="00D263D4" w:rsidRPr="00417BA1">
        <w:rPr>
          <w:rFonts w:ascii="Times New Roman" w:eastAsia="Times New Roman" w:hAnsi="Times New Roman" w:cs="Times New Roman"/>
          <w:b/>
          <w:sz w:val="28"/>
          <w:szCs w:val="24"/>
        </w:rPr>
        <w:t>ндивидуальных предпринимателей</w:t>
      </w:r>
    </w:p>
    <w:p w:rsidR="00D263D4" w:rsidRDefault="00D263D4" w:rsidP="0012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63D4" w:rsidRPr="00120738" w:rsidRDefault="00D263D4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Ввиду ограниченного доступа к территориям и объектам, инвентаризация объектов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проводится в упрощенном порядке.</w:t>
      </w:r>
    </w:p>
    <w:p w:rsidR="00D263D4" w:rsidRPr="00417BA1" w:rsidRDefault="00D263D4" w:rsidP="00417BA1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Инвентаризации подлежат внешний вид фасадов и ограждений, и прилегающая к объектам </w:t>
      </w:r>
      <w:r w:rsidRPr="00417BA1">
        <w:rPr>
          <w:rFonts w:ascii="Times New Roman" w:eastAsia="Times New Roman" w:hAnsi="Times New Roman" w:cs="Times New Roman"/>
          <w:sz w:val="28"/>
          <w:szCs w:val="24"/>
        </w:rPr>
        <w:t xml:space="preserve">недвижимого имущества (включая объекты незавершенного строительства) и земельных участков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территория. </w:t>
      </w:r>
      <w:r w:rsidRPr="00417BA1">
        <w:rPr>
          <w:rFonts w:ascii="Times New Roman" w:eastAsia="Times New Roman" w:hAnsi="Times New Roman" w:cs="Times New Roman"/>
          <w:sz w:val="28"/>
          <w:szCs w:val="24"/>
        </w:rPr>
        <w:t>По результатам мероприятия по инвентаризации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 собственниками указанных объектов недвижимого имущества (включая объекты незавершенного строительства) и земельных участков должно быть заключено соглашение об их благоустройстве, которые подлежат благоустройству не позднее 2020 года за счет средств указанных лиц в соответствии с заключенными соглашениями с о</w:t>
      </w:r>
      <w:r w:rsidR="00417BA1">
        <w:rPr>
          <w:rFonts w:ascii="Times New Roman" w:eastAsia="Times New Roman" w:hAnsi="Times New Roman" w:cs="Times New Roman"/>
          <w:sz w:val="28"/>
          <w:szCs w:val="24"/>
        </w:rPr>
        <w:t>рганами местного самоуправления.</w:t>
      </w:r>
    </w:p>
    <w:p w:rsidR="00D263D4" w:rsidRPr="00120738" w:rsidRDefault="00D263D4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По итогам проведения инвентаризации объектов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D55ED1" w:rsidRPr="009A0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>необходимо получить следующие характеристики:</w:t>
      </w:r>
    </w:p>
    <w:p w:rsidR="00D263D4" w:rsidRPr="00120738" w:rsidRDefault="00D263D4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состояние фасада объекта объектов </w:t>
      </w:r>
      <w:r w:rsidRPr="00120738">
        <w:rPr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(в нормативном состоянии /не в нормативном состоянии); </w:t>
      </w:r>
    </w:p>
    <w:p w:rsidR="00D263D4" w:rsidRPr="00120738" w:rsidRDefault="00D263D4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состояние прилегающей территории (требует благоустройства /не требует благоустройства); </w:t>
      </w:r>
    </w:p>
    <w:p w:rsidR="00D263D4" w:rsidRPr="00120738" w:rsidRDefault="00D263D4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информация о правообладателях </w:t>
      </w:r>
      <w:r w:rsidR="00F40A9F" w:rsidRPr="00120738">
        <w:rPr>
          <w:rFonts w:ascii="Times New Roman" w:eastAsia="Times New Roman" w:hAnsi="Times New Roman" w:cs="Times New Roman"/>
          <w:sz w:val="28"/>
          <w:szCs w:val="24"/>
        </w:rPr>
        <w:t xml:space="preserve">объектов </w:t>
      </w:r>
      <w:r w:rsidR="00F40A9F" w:rsidRPr="00120738">
        <w:rPr>
          <w:rFonts w:ascii="Times New Roman" w:hAnsi="Times New Roman" w:cs="Times New Roman"/>
          <w:bCs/>
          <w:sz w:val="28"/>
          <w:szCs w:val="28"/>
        </w:rPr>
        <w:t>недвижимого имущества,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40A9F" w:rsidRPr="00120738">
        <w:rPr>
          <w:rFonts w:ascii="Times New Roman" w:hAnsi="Times New Roman" w:cs="Times New Roman"/>
          <w:bCs/>
          <w:sz w:val="28"/>
          <w:szCs w:val="28"/>
        </w:rPr>
        <w:t>включая объекты незавершенного стро</w:t>
      </w:r>
      <w:r w:rsidR="00B47CAA">
        <w:rPr>
          <w:rFonts w:ascii="Times New Roman" w:hAnsi="Times New Roman" w:cs="Times New Roman"/>
          <w:bCs/>
          <w:sz w:val="28"/>
          <w:szCs w:val="28"/>
        </w:rPr>
        <w:t>ительства,</w:t>
      </w:r>
      <w:r w:rsidR="00F40A9F" w:rsidRPr="00120738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D263D4" w:rsidRPr="00120738" w:rsidRDefault="00D263D4" w:rsidP="0012073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подписании соглашения о благоустройстве </w:t>
      </w:r>
      <w:r w:rsidRPr="00120738">
        <w:rPr>
          <w:rFonts w:ascii="Times New Roman" w:hAnsi="Times New Roman" w:cs="Times New Roman"/>
          <w:sz w:val="28"/>
          <w:szCs w:val="28"/>
        </w:rPr>
        <w:t xml:space="preserve">с </w:t>
      </w:r>
      <w:r w:rsidR="00F40A9F" w:rsidRPr="00120738">
        <w:rPr>
          <w:rFonts w:ascii="Times New Roman" w:hAnsi="Times New Roman" w:cs="Times New Roman"/>
          <w:bCs/>
          <w:sz w:val="28"/>
          <w:szCs w:val="28"/>
        </w:rPr>
        <w:t xml:space="preserve">юридическими лицами и индивидуальными предпринимателями </w:t>
      </w:r>
      <w:r w:rsidR="00F40A9F" w:rsidRPr="00120738">
        <w:rPr>
          <w:rFonts w:ascii="Times New Roman" w:eastAsia="Times New Roman" w:hAnsi="Times New Roman" w:cs="Times New Roman"/>
          <w:sz w:val="28"/>
          <w:szCs w:val="24"/>
        </w:rPr>
        <w:t xml:space="preserve">объектов, в собственности (пользовании) которых находятся объекты </w:t>
      </w:r>
      <w:r w:rsidR="00F40A9F" w:rsidRPr="00120738">
        <w:rPr>
          <w:rFonts w:ascii="Times New Roman" w:hAnsi="Times New Roman" w:cs="Times New Roman"/>
          <w:bCs/>
          <w:sz w:val="28"/>
          <w:szCs w:val="28"/>
        </w:rPr>
        <w:t>недвижимого имущества (включая объекты незавершенного строительства) и земельных участков</w:t>
      </w:r>
      <w:r w:rsidR="00F40A9F" w:rsidRPr="00120738">
        <w:rPr>
          <w:rFonts w:ascii="Times New Roman" w:hAnsi="Times New Roman" w:cs="Times New Roman"/>
          <w:sz w:val="28"/>
          <w:szCs w:val="28"/>
        </w:rPr>
        <w:t xml:space="preserve"> </w:t>
      </w:r>
      <w:r w:rsidRPr="00120738">
        <w:rPr>
          <w:rFonts w:ascii="Times New Roman" w:eastAsia="Times New Roman" w:hAnsi="Times New Roman" w:cs="Times New Roman"/>
          <w:sz w:val="28"/>
          <w:szCs w:val="24"/>
        </w:rPr>
        <w:t xml:space="preserve">(с приложением скан-копии заключенного соглашения) с указанием сроков завершения благоустройства либо информация об отказе в подписании указного соглашения; </w:t>
      </w:r>
    </w:p>
    <w:p w:rsidR="00D263D4" w:rsidRPr="00120738" w:rsidRDefault="00D263D4" w:rsidP="0012073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D263D4" w:rsidRDefault="00D263D4" w:rsidP="0012073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на прилегающей территории.</w:t>
      </w:r>
    </w:p>
    <w:p w:rsidR="00120738" w:rsidRPr="00120738" w:rsidRDefault="00120738" w:rsidP="00120738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6330" w:rsidRDefault="00FB0BD5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Описание элементов благоустройства </w:t>
      </w:r>
    </w:p>
    <w:p w:rsidR="009A076E" w:rsidRDefault="009A076E" w:rsidP="009A076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6330" w:rsidRDefault="00FB0BD5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По каждому элементу благоустройства </w:t>
      </w:r>
      <w:r w:rsidR="00DE5DFA" w:rsidRPr="004E6330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 w:rsidRPr="004E6330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 w:rsidRPr="004E6330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</w:t>
      </w:r>
      <w:r w:rsidR="00CC6275" w:rsidRPr="004E6330">
        <w:rPr>
          <w:rFonts w:ascii="Times New Roman" w:eastAsia="Times New Roman" w:hAnsi="Times New Roman" w:cs="Times New Roman"/>
          <w:sz w:val="28"/>
          <w:szCs w:val="24"/>
        </w:rPr>
        <w:t xml:space="preserve">, в соответствии с требованиями, приведенными в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t>пунктах</w:t>
      </w:r>
      <w:r w:rsidR="00CC6275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5744B4">
        <w:rPr>
          <w:rFonts w:ascii="Times New Roman" w:eastAsia="Times New Roman" w:hAnsi="Times New Roman" w:cs="Times New Roman"/>
          <w:sz w:val="28"/>
          <w:szCs w:val="24"/>
        </w:rPr>
        <w:instrText xml:space="preserve"> REF _Ref500506860 \r \h </w:instrText>
      </w:r>
      <w:r w:rsidR="005744B4">
        <w:rPr>
          <w:rFonts w:ascii="Times New Roman" w:eastAsia="Times New Roman" w:hAnsi="Times New Roman" w:cs="Times New Roman"/>
          <w:sz w:val="28"/>
          <w:szCs w:val="24"/>
        </w:rPr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9.4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="005744B4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5744B4">
        <w:rPr>
          <w:rFonts w:ascii="Times New Roman" w:eastAsia="Times New Roman" w:hAnsi="Times New Roman" w:cs="Times New Roman"/>
          <w:sz w:val="28"/>
          <w:szCs w:val="24"/>
        </w:rPr>
        <w:instrText xml:space="preserve"> REF _Ref500506865 \r \h </w:instrText>
      </w:r>
      <w:r w:rsidR="005744B4">
        <w:rPr>
          <w:rFonts w:ascii="Times New Roman" w:eastAsia="Times New Roman" w:hAnsi="Times New Roman" w:cs="Times New Roman"/>
          <w:sz w:val="28"/>
          <w:szCs w:val="24"/>
        </w:rPr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9.6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E6330" w:rsidRDefault="00FB0BD5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</w:t>
      </w:r>
      <w:r w:rsidR="00CC62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6275" w:rsidRPr="00147D0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C6275" w:rsidRPr="00F37BD5">
        <w:rPr>
          <w:rFonts w:ascii="Times New Roman" w:eastAsia="Times New Roman" w:hAnsi="Times New Roman" w:cs="Times New Roman"/>
          <w:sz w:val="28"/>
          <w:szCs w:val="24"/>
        </w:rPr>
        <w:t xml:space="preserve">системах координат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(например, в системах координат </w:t>
      </w:r>
      <w:r w:rsidR="004608CA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приведены в пункте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5744B4">
        <w:rPr>
          <w:rFonts w:ascii="Times New Roman" w:eastAsia="Times New Roman" w:hAnsi="Times New Roman" w:cs="Times New Roman"/>
          <w:sz w:val="28"/>
          <w:szCs w:val="24"/>
        </w:rPr>
        <w:instrText xml:space="preserve"> REF _Ref500506898 \r \h </w:instrText>
      </w:r>
      <w:r w:rsidR="005744B4">
        <w:rPr>
          <w:rFonts w:ascii="Times New Roman" w:eastAsia="Times New Roman" w:hAnsi="Times New Roman" w:cs="Times New Roman"/>
          <w:sz w:val="28"/>
          <w:szCs w:val="24"/>
        </w:rPr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7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E6330" w:rsidRDefault="00FB0BD5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4E6330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:rsidR="004E6330" w:rsidRDefault="00FB0BD5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5744B4">
        <w:rPr>
          <w:rFonts w:ascii="Times New Roman" w:eastAsia="Times New Roman" w:hAnsi="Times New Roman" w:cs="Times New Roman"/>
          <w:sz w:val="28"/>
          <w:szCs w:val="24"/>
        </w:rPr>
        <w:instrText xml:space="preserve"> REF _Ref500506924 \r \h </w:instrText>
      </w:r>
      <w:r w:rsidR="005744B4">
        <w:rPr>
          <w:rFonts w:ascii="Times New Roman" w:eastAsia="Times New Roman" w:hAnsi="Times New Roman" w:cs="Times New Roman"/>
          <w:sz w:val="28"/>
          <w:szCs w:val="24"/>
        </w:rPr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8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B0BD5" w:rsidRPr="00692174" w:rsidRDefault="00C64D76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5744B4">
        <w:rPr>
          <w:rFonts w:ascii="Times New Roman" w:eastAsia="Times New Roman" w:hAnsi="Times New Roman" w:cs="Times New Roman"/>
          <w:sz w:val="28"/>
          <w:szCs w:val="24"/>
        </w:rPr>
        <w:instrText xml:space="preserve"> REF _Ref500506924 \r \h </w:instrText>
      </w:r>
      <w:r w:rsidR="005744B4">
        <w:rPr>
          <w:rFonts w:ascii="Times New Roman" w:eastAsia="Times New Roman" w:hAnsi="Times New Roman" w:cs="Times New Roman"/>
          <w:sz w:val="28"/>
          <w:szCs w:val="24"/>
        </w:rPr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5744B4">
        <w:rPr>
          <w:rFonts w:ascii="Times New Roman" w:eastAsia="Times New Roman" w:hAnsi="Times New Roman" w:cs="Times New Roman"/>
          <w:sz w:val="28"/>
          <w:szCs w:val="24"/>
        </w:rPr>
        <w:t>8</w:t>
      </w:r>
      <w:r w:rsidR="005744B4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12FA2" w:rsidRPr="00692174" w:rsidRDefault="009304B1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Ref500506898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bookmarkEnd w:id="0"/>
    </w:p>
    <w:p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2FA2" w:rsidRPr="004E6330" w:rsidRDefault="009304B1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площадь, занимаемая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4E6330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12FA2" w:rsidRPr="004E6330" w:rsidRDefault="009304B1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значение площади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 в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 отнесенное к 2 метрам не превышает протяженности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4E6330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4E6330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производится оценка протяженности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4E6330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4E63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4E6330" w:rsidRDefault="00912FA2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значение площади </w:t>
      </w:r>
      <w:r w:rsidR="009304B1"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в квадратных метрах отнесенное к 2 метрам превышает протяженность </w:t>
      </w:r>
      <w:r w:rsidR="009304B1"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4E633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4E6330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границы </w:t>
      </w:r>
      <w:r w:rsidR="00571DC5"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и производится оценка площади объекта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4E6330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4E63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4E6330" w:rsidRDefault="00912FA2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4E6330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произвольный способ фиксации размеров </w:t>
      </w:r>
      <w:r w:rsidR="00571DC5"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4E6330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4E633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4E6330" w:rsidRDefault="00A86DD2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</w:t>
      </w:r>
      <w:r w:rsidR="0082383D" w:rsidRPr="004E6330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4E6330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4E6330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4E6330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4E6330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4E6330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4E63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Default="00CF0E39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Ref500506924"/>
      <w:r w:rsidRPr="00120738"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Классификация и атрибуты </w:t>
      </w:r>
      <w:r w:rsidR="001006F6" w:rsidRPr="00120738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  <w:bookmarkEnd w:id="1"/>
    </w:p>
    <w:p w:rsidR="009A076E" w:rsidRPr="00120738" w:rsidRDefault="009A076E" w:rsidP="009A076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E39" w:rsidRPr="004E6330" w:rsidRDefault="001006F6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4E6330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4E6330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4E6330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>приведен в Приложении №</w:t>
      </w:r>
      <w:r w:rsidR="00B04282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>1.</w:t>
      </w:r>
      <w:r w:rsidR="005613AE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F0E39" w:rsidRPr="004E6330" w:rsidRDefault="00CF0E39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4E6330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4E6330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4E6330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4E6330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4E6330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1DC5" w:rsidRPr="004E6330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>, обязательных к заполнению, приведен в Приложении №</w:t>
      </w:r>
      <w:r w:rsidR="00B04282" w:rsidRPr="004E63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197D" w:rsidRPr="004E6330">
        <w:rPr>
          <w:rFonts w:ascii="Times New Roman" w:eastAsia="Times New Roman" w:hAnsi="Times New Roman" w:cs="Times New Roman"/>
          <w:sz w:val="28"/>
          <w:szCs w:val="24"/>
        </w:rPr>
        <w:t>1.</w:t>
      </w:r>
    </w:p>
    <w:p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Default="00DC7785" w:rsidP="00417BA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0738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:rsidR="009A076E" w:rsidRPr="00120738" w:rsidRDefault="009A076E" w:rsidP="009A076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6330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будут заносится в систему ГИС ЖКХ в Модуль «Формирование комфортной городской среды» (далее – Модуль). Возможен как ручной ввод данных, так и автоматизированный. </w:t>
      </w:r>
    </w:p>
    <w:p w:rsidR="004E6330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Для ручного ввода данных может быть использован графический интерфейс в Модуле,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 Подробная инструкция по работе с Модулем приедена в Руководстве пользователя «Приоритетный проект «Формирование комфортной городской среды», которое размещено на официальном сайте ГИС ЖКХ в разделе «Регламенты и инструкции».</w:t>
      </w:r>
    </w:p>
    <w:p w:rsidR="004E6330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 xml:space="preserve">Для автоматизированного учета данных может быть использован программный интерфейс. Для передачи структурированных данных используется формат JSON, для передачи изображений – формат JPEG. </w:t>
      </w:r>
    </w:p>
    <w:p w:rsidR="00395B1D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_Ref500506860"/>
      <w:r w:rsidRPr="00395B1D">
        <w:rPr>
          <w:rFonts w:ascii="Times New Roman" w:eastAsia="Times New Roman" w:hAnsi="Times New Roman" w:cs="Times New Roman"/>
          <w:sz w:val="28"/>
          <w:szCs w:val="24"/>
        </w:rPr>
        <w:t xml:space="preserve">Размер используемых для внесения в Модуль фотографий должен быть не менее 1024 пикселей на 768 пикселей, размерность глубины цвета должна быть не менее 24 бита. Допустимы следующие форматы фотографий: JPEG и </w:t>
      </w:r>
      <w:r w:rsidRPr="009A076E">
        <w:rPr>
          <w:rFonts w:ascii="Times New Roman" w:eastAsia="Times New Roman" w:hAnsi="Times New Roman" w:cs="Times New Roman"/>
          <w:sz w:val="28"/>
          <w:szCs w:val="24"/>
        </w:rPr>
        <w:t>TIF</w:t>
      </w:r>
      <w:r w:rsidRPr="00395B1D">
        <w:rPr>
          <w:rFonts w:ascii="Times New Roman" w:eastAsia="Times New Roman" w:hAnsi="Times New Roman" w:cs="Times New Roman"/>
          <w:sz w:val="28"/>
          <w:szCs w:val="24"/>
        </w:rPr>
        <w:t>.</w:t>
      </w:r>
      <w:bookmarkEnd w:id="2"/>
    </w:p>
    <w:p w:rsidR="004E6330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В правом нижнем углу фотографии должна быть подпись, содержащая информацию о дате и времени, координатах местонахождения элемента благоустройства и категории элемента благоустройства.</w:t>
      </w:r>
    </w:p>
    <w:p w:rsidR="00395B1D" w:rsidRPr="00395B1D" w:rsidRDefault="00395B1D" w:rsidP="009A076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Ref500506865"/>
      <w:r w:rsidRPr="00395B1D">
        <w:rPr>
          <w:rFonts w:ascii="Times New Roman" w:eastAsia="Times New Roman" w:hAnsi="Times New Roman" w:cs="Times New Roman"/>
          <w:sz w:val="28"/>
          <w:szCs w:val="24"/>
        </w:rPr>
        <w:t>При подготовке фотоматериалов не допускается:</w:t>
      </w:r>
      <w:bookmarkEnd w:id="3"/>
    </w:p>
    <w:p w:rsidR="00395B1D" w:rsidRPr="00395B1D" w:rsidRDefault="00395B1D" w:rsidP="0082294C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многократное использование одних и тех же фотографий для разных объектов и территорий;</w:t>
      </w:r>
    </w:p>
    <w:p w:rsidR="00395B1D" w:rsidRPr="00395B1D" w:rsidRDefault="00395B1D" w:rsidP="0082294C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использование в качестве изображений объектов и территорий скриншоты из сторонних программ (спутниковые карты, снимки из картографических сервисов и том подобное)</w:t>
      </w:r>
    </w:p>
    <w:p w:rsidR="00395B1D" w:rsidRPr="00395B1D" w:rsidRDefault="00395B1D" w:rsidP="0082294C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использование в качестве изображений объектов и территорий скан-копий эскизных проектов и иные графические материалы, сделанные не в процессе натурного обследования;</w:t>
      </w:r>
    </w:p>
    <w:p w:rsidR="00395B1D" w:rsidRPr="00395B1D" w:rsidRDefault="00395B1D" w:rsidP="0082294C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B1D">
        <w:rPr>
          <w:rFonts w:ascii="Times New Roman" w:eastAsia="Times New Roman" w:hAnsi="Times New Roman" w:cs="Times New Roman"/>
          <w:sz w:val="28"/>
          <w:szCs w:val="24"/>
        </w:rPr>
        <w:t>использование фотографий общего плана дворовой и общественной территории для графического отображения элемента благоустройства. Каждый из объектов благоустройства должен быть четко виден на фотографии.</w:t>
      </w:r>
    </w:p>
    <w:p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некапитальное"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(Клумба, Горка, Палисадник, Подвесной, Другое)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(Вечнозеленое, Листопадное неплодовое, Листопадное плодовое)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"Плоскостные и линейные"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"Автопарковка"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спорта (Футбол, Теннис, Волейбол, Хоккей, Баскетбол, Экстремальный вид спорта, Другое)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Освещение спортивной зоны (Специальное освещение, Только за счет общедворовых фонарей, Освещение отсутствует)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"Велопарковка"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C7452C" w:rsidRPr="000D750B" w:rsidRDefault="00C7452C" w:rsidP="00C7452C">
      <w:pPr>
        <w:pStyle w:val="a5"/>
        <w:shd w:val="clear" w:color="auto" w:fill="FFFFFF"/>
        <w:spacing w:before="84" w:after="0" w:line="240" w:lineRule="auto"/>
        <w:ind w:left="12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452C" w:rsidRPr="000D750B" w:rsidRDefault="00C7452C" w:rsidP="00C7452C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«Дворовой проезд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C7452C" w:rsidRPr="000D750B" w:rsidRDefault="00C7452C" w:rsidP="00C7452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C7452C" w:rsidRPr="000D750B" w:rsidRDefault="00C7452C" w:rsidP="00C7452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 Грунт, Иное)</w:t>
      </w:r>
    </w:p>
    <w:p w:rsidR="00C7452C" w:rsidRPr="000D750B" w:rsidRDefault="00C7452C" w:rsidP="00C7452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Default="00C7452C" w:rsidP="00787E5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452C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C7452C" w:rsidRPr="00C7452C" w:rsidRDefault="00C7452C" w:rsidP="00C7452C">
      <w:pPr>
        <w:pStyle w:val="a5"/>
        <w:shd w:val="clear" w:color="auto" w:fill="FFFFFF"/>
        <w:spacing w:before="84" w:after="0" w:line="240" w:lineRule="auto"/>
        <w:ind w:left="12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Вместимость, куб.м.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(Песочница, Карусель, Качели, Горка, Качалка, Домик, Балансир, Комплексный объект,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спинки (Есть, Нет)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(прямоугольный, круглый)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(Автоматический, Ручной, Иное)</w:t>
      </w:r>
    </w:p>
    <w:p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(Ртутный, Галогеновый, Люминисцентный, Накаливания, Светодиодный,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(Сплошное, С просветами)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73" w:rsidRDefault="00277B73" w:rsidP="00D03DA6">
      <w:pPr>
        <w:spacing w:after="0" w:line="240" w:lineRule="auto"/>
      </w:pPr>
      <w:r>
        <w:separator/>
      </w:r>
    </w:p>
  </w:endnote>
  <w:endnote w:type="continuationSeparator" w:id="0">
    <w:p w:rsidR="00277B73" w:rsidRDefault="00277B73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250638"/>
    </w:sdtPr>
    <w:sdtEndPr/>
    <w:sdtContent>
      <w:p w:rsidR="009D0325" w:rsidRDefault="009D03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7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0325" w:rsidRDefault="009D03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73" w:rsidRDefault="00277B73" w:rsidP="00D03DA6">
      <w:pPr>
        <w:spacing w:after="0" w:line="240" w:lineRule="auto"/>
      </w:pPr>
      <w:r>
        <w:separator/>
      </w:r>
    </w:p>
  </w:footnote>
  <w:footnote w:type="continuationSeparator" w:id="0">
    <w:p w:rsidR="00277B73" w:rsidRDefault="00277B73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E7FEA"/>
    <w:multiLevelType w:val="hybridMultilevel"/>
    <w:tmpl w:val="7BE22F38"/>
    <w:lvl w:ilvl="0" w:tplc="5A609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9E7"/>
    <w:multiLevelType w:val="multilevel"/>
    <w:tmpl w:val="FF4C98A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7F6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76FAF"/>
    <w:multiLevelType w:val="multilevel"/>
    <w:tmpl w:val="ACDCE8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48262E"/>
    <w:multiLevelType w:val="multilevel"/>
    <w:tmpl w:val="F788CB9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 w15:restartNumberingAfterBreak="0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482418"/>
    <w:multiLevelType w:val="multilevel"/>
    <w:tmpl w:val="13E6D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E75CAE"/>
    <w:multiLevelType w:val="multilevel"/>
    <w:tmpl w:val="7A92A8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3"/>
  </w:num>
  <w:num w:numId="5">
    <w:abstractNumId w:val="0"/>
  </w:num>
  <w:num w:numId="6">
    <w:abstractNumId w:val="8"/>
  </w:num>
  <w:num w:numId="7">
    <w:abstractNumId w:val="21"/>
  </w:num>
  <w:num w:numId="8">
    <w:abstractNumId w:val="27"/>
  </w:num>
  <w:num w:numId="9">
    <w:abstractNumId w:val="5"/>
  </w:num>
  <w:num w:numId="10">
    <w:abstractNumId w:val="34"/>
  </w:num>
  <w:num w:numId="11">
    <w:abstractNumId w:val="28"/>
  </w:num>
  <w:num w:numId="12">
    <w:abstractNumId w:val="12"/>
  </w:num>
  <w:num w:numId="13">
    <w:abstractNumId w:val="10"/>
  </w:num>
  <w:num w:numId="14">
    <w:abstractNumId w:val="11"/>
  </w:num>
  <w:num w:numId="15">
    <w:abstractNumId w:val="18"/>
  </w:num>
  <w:num w:numId="16">
    <w:abstractNumId w:val="32"/>
  </w:num>
  <w:num w:numId="17">
    <w:abstractNumId w:val="16"/>
  </w:num>
  <w:num w:numId="18">
    <w:abstractNumId w:val="31"/>
  </w:num>
  <w:num w:numId="19">
    <w:abstractNumId w:val="4"/>
  </w:num>
  <w:num w:numId="20">
    <w:abstractNumId w:val="13"/>
  </w:num>
  <w:num w:numId="21">
    <w:abstractNumId w:val="15"/>
  </w:num>
  <w:num w:numId="22">
    <w:abstractNumId w:val="25"/>
  </w:num>
  <w:num w:numId="23">
    <w:abstractNumId w:val="24"/>
  </w:num>
  <w:num w:numId="24">
    <w:abstractNumId w:val="19"/>
  </w:num>
  <w:num w:numId="25">
    <w:abstractNumId w:val="30"/>
  </w:num>
  <w:num w:numId="26">
    <w:abstractNumId w:val="9"/>
  </w:num>
  <w:num w:numId="27">
    <w:abstractNumId w:val="20"/>
  </w:num>
  <w:num w:numId="28">
    <w:abstractNumId w:val="26"/>
  </w:num>
  <w:num w:numId="29">
    <w:abstractNumId w:val="3"/>
  </w:num>
  <w:num w:numId="30">
    <w:abstractNumId w:val="17"/>
  </w:num>
  <w:num w:numId="31">
    <w:abstractNumId w:val="1"/>
  </w:num>
  <w:num w:numId="32">
    <w:abstractNumId w:val="33"/>
  </w:num>
  <w:num w:numId="33">
    <w:abstractNumId w:val="6"/>
  </w:num>
  <w:num w:numId="34">
    <w:abstractNumId w:val="29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A0EB6"/>
    <w:rsid w:val="000C15DB"/>
    <w:rsid w:val="000D27B2"/>
    <w:rsid w:val="000D750B"/>
    <w:rsid w:val="000E53E3"/>
    <w:rsid w:val="000F00DF"/>
    <w:rsid w:val="000F1960"/>
    <w:rsid w:val="001006F6"/>
    <w:rsid w:val="00101934"/>
    <w:rsid w:val="00112671"/>
    <w:rsid w:val="00120595"/>
    <w:rsid w:val="00120738"/>
    <w:rsid w:val="00121E40"/>
    <w:rsid w:val="0013344A"/>
    <w:rsid w:val="00143495"/>
    <w:rsid w:val="00147D0F"/>
    <w:rsid w:val="00155AF2"/>
    <w:rsid w:val="001646CC"/>
    <w:rsid w:val="00170C02"/>
    <w:rsid w:val="00170FC3"/>
    <w:rsid w:val="00173A9A"/>
    <w:rsid w:val="00175474"/>
    <w:rsid w:val="00182613"/>
    <w:rsid w:val="00194E9C"/>
    <w:rsid w:val="001B1507"/>
    <w:rsid w:val="001B670E"/>
    <w:rsid w:val="001F1F0A"/>
    <w:rsid w:val="001F4B54"/>
    <w:rsid w:val="001F4D83"/>
    <w:rsid w:val="001F63F5"/>
    <w:rsid w:val="002139AF"/>
    <w:rsid w:val="00241C49"/>
    <w:rsid w:val="00250483"/>
    <w:rsid w:val="00254F8B"/>
    <w:rsid w:val="00256FCE"/>
    <w:rsid w:val="0025771E"/>
    <w:rsid w:val="00277B73"/>
    <w:rsid w:val="00284A35"/>
    <w:rsid w:val="00287218"/>
    <w:rsid w:val="002A3591"/>
    <w:rsid w:val="002A6719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43F8C"/>
    <w:rsid w:val="00357444"/>
    <w:rsid w:val="003638B8"/>
    <w:rsid w:val="00385F43"/>
    <w:rsid w:val="00386223"/>
    <w:rsid w:val="00394A2B"/>
    <w:rsid w:val="00395B1D"/>
    <w:rsid w:val="003A0507"/>
    <w:rsid w:val="003A68B2"/>
    <w:rsid w:val="003C2BF5"/>
    <w:rsid w:val="003D3611"/>
    <w:rsid w:val="003E1872"/>
    <w:rsid w:val="003E375C"/>
    <w:rsid w:val="004060CA"/>
    <w:rsid w:val="0040627D"/>
    <w:rsid w:val="00410D86"/>
    <w:rsid w:val="00410EB6"/>
    <w:rsid w:val="00417BA1"/>
    <w:rsid w:val="00435B41"/>
    <w:rsid w:val="0044756B"/>
    <w:rsid w:val="004549A5"/>
    <w:rsid w:val="004608CA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C7156"/>
    <w:rsid w:val="004E4C6A"/>
    <w:rsid w:val="004E6330"/>
    <w:rsid w:val="004F7760"/>
    <w:rsid w:val="004F79DF"/>
    <w:rsid w:val="005024AA"/>
    <w:rsid w:val="00540933"/>
    <w:rsid w:val="005430A3"/>
    <w:rsid w:val="00554F7A"/>
    <w:rsid w:val="00557A1F"/>
    <w:rsid w:val="005613AE"/>
    <w:rsid w:val="00571DC5"/>
    <w:rsid w:val="005744B4"/>
    <w:rsid w:val="00584829"/>
    <w:rsid w:val="005865DE"/>
    <w:rsid w:val="00586AE9"/>
    <w:rsid w:val="005C4107"/>
    <w:rsid w:val="005D29D3"/>
    <w:rsid w:val="005E03F7"/>
    <w:rsid w:val="005E7787"/>
    <w:rsid w:val="005F3796"/>
    <w:rsid w:val="005F4A3B"/>
    <w:rsid w:val="00602A1B"/>
    <w:rsid w:val="006279A1"/>
    <w:rsid w:val="00627C82"/>
    <w:rsid w:val="00632885"/>
    <w:rsid w:val="00635647"/>
    <w:rsid w:val="00644453"/>
    <w:rsid w:val="006513B3"/>
    <w:rsid w:val="006670C2"/>
    <w:rsid w:val="00686FF8"/>
    <w:rsid w:val="00690CFE"/>
    <w:rsid w:val="00692174"/>
    <w:rsid w:val="0069650A"/>
    <w:rsid w:val="00697E61"/>
    <w:rsid w:val="006A48F9"/>
    <w:rsid w:val="006A7A8B"/>
    <w:rsid w:val="006B2DCF"/>
    <w:rsid w:val="006C7FFA"/>
    <w:rsid w:val="006E0411"/>
    <w:rsid w:val="006E3C4A"/>
    <w:rsid w:val="006E3DBC"/>
    <w:rsid w:val="006F034B"/>
    <w:rsid w:val="00721C49"/>
    <w:rsid w:val="00725A60"/>
    <w:rsid w:val="00732511"/>
    <w:rsid w:val="007476D0"/>
    <w:rsid w:val="00761852"/>
    <w:rsid w:val="00771283"/>
    <w:rsid w:val="007724BC"/>
    <w:rsid w:val="00781ECE"/>
    <w:rsid w:val="00786AF2"/>
    <w:rsid w:val="007870CD"/>
    <w:rsid w:val="00795EB2"/>
    <w:rsid w:val="007A1071"/>
    <w:rsid w:val="007A544F"/>
    <w:rsid w:val="007A5B77"/>
    <w:rsid w:val="007D5903"/>
    <w:rsid w:val="007E0CDA"/>
    <w:rsid w:val="008053C0"/>
    <w:rsid w:val="00821D08"/>
    <w:rsid w:val="0082294C"/>
    <w:rsid w:val="0082383D"/>
    <w:rsid w:val="008336CD"/>
    <w:rsid w:val="00833A89"/>
    <w:rsid w:val="008877CE"/>
    <w:rsid w:val="00897D03"/>
    <w:rsid w:val="008B4E95"/>
    <w:rsid w:val="008C44D8"/>
    <w:rsid w:val="008D11A2"/>
    <w:rsid w:val="008D2BE0"/>
    <w:rsid w:val="008E7DB9"/>
    <w:rsid w:val="008F3230"/>
    <w:rsid w:val="008F583C"/>
    <w:rsid w:val="00900AD3"/>
    <w:rsid w:val="00912FA2"/>
    <w:rsid w:val="00916CF2"/>
    <w:rsid w:val="00927A38"/>
    <w:rsid w:val="009304B1"/>
    <w:rsid w:val="00931CF9"/>
    <w:rsid w:val="0093337C"/>
    <w:rsid w:val="0094197D"/>
    <w:rsid w:val="0097330A"/>
    <w:rsid w:val="00975C6E"/>
    <w:rsid w:val="009864B2"/>
    <w:rsid w:val="009A076E"/>
    <w:rsid w:val="009A22BA"/>
    <w:rsid w:val="009A5DB5"/>
    <w:rsid w:val="009A6D9C"/>
    <w:rsid w:val="009B4D54"/>
    <w:rsid w:val="009C28F8"/>
    <w:rsid w:val="009C569A"/>
    <w:rsid w:val="009D0325"/>
    <w:rsid w:val="009D68B3"/>
    <w:rsid w:val="009D6BD9"/>
    <w:rsid w:val="009E058F"/>
    <w:rsid w:val="009F4615"/>
    <w:rsid w:val="009F5133"/>
    <w:rsid w:val="009F63A1"/>
    <w:rsid w:val="00A3161A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97E39"/>
    <w:rsid w:val="00AC65E3"/>
    <w:rsid w:val="00AC7608"/>
    <w:rsid w:val="00AD27C1"/>
    <w:rsid w:val="00AD7E5C"/>
    <w:rsid w:val="00AE3AC8"/>
    <w:rsid w:val="00AF2436"/>
    <w:rsid w:val="00AF3BE4"/>
    <w:rsid w:val="00AF7578"/>
    <w:rsid w:val="00B0118B"/>
    <w:rsid w:val="00B04282"/>
    <w:rsid w:val="00B253EB"/>
    <w:rsid w:val="00B26C9D"/>
    <w:rsid w:val="00B37AF8"/>
    <w:rsid w:val="00B37DE8"/>
    <w:rsid w:val="00B455F7"/>
    <w:rsid w:val="00B47CAA"/>
    <w:rsid w:val="00B62CE1"/>
    <w:rsid w:val="00B65998"/>
    <w:rsid w:val="00B84697"/>
    <w:rsid w:val="00B857D6"/>
    <w:rsid w:val="00B86ED9"/>
    <w:rsid w:val="00BB074A"/>
    <w:rsid w:val="00BE4D71"/>
    <w:rsid w:val="00BF00CB"/>
    <w:rsid w:val="00BF30F5"/>
    <w:rsid w:val="00C06027"/>
    <w:rsid w:val="00C12925"/>
    <w:rsid w:val="00C30EAB"/>
    <w:rsid w:val="00C32B39"/>
    <w:rsid w:val="00C40921"/>
    <w:rsid w:val="00C446D2"/>
    <w:rsid w:val="00C45FBC"/>
    <w:rsid w:val="00C47494"/>
    <w:rsid w:val="00C51AE5"/>
    <w:rsid w:val="00C63687"/>
    <w:rsid w:val="00C64D76"/>
    <w:rsid w:val="00C713D6"/>
    <w:rsid w:val="00C724CB"/>
    <w:rsid w:val="00C7452C"/>
    <w:rsid w:val="00C90716"/>
    <w:rsid w:val="00CA5C09"/>
    <w:rsid w:val="00CC5DC5"/>
    <w:rsid w:val="00CC6275"/>
    <w:rsid w:val="00CD44C2"/>
    <w:rsid w:val="00CD4C73"/>
    <w:rsid w:val="00CD6E12"/>
    <w:rsid w:val="00CE703C"/>
    <w:rsid w:val="00CF0192"/>
    <w:rsid w:val="00CF0E39"/>
    <w:rsid w:val="00D00B2E"/>
    <w:rsid w:val="00D03DA6"/>
    <w:rsid w:val="00D1059E"/>
    <w:rsid w:val="00D13CD5"/>
    <w:rsid w:val="00D154DF"/>
    <w:rsid w:val="00D263D4"/>
    <w:rsid w:val="00D360A3"/>
    <w:rsid w:val="00D37E3D"/>
    <w:rsid w:val="00D42FC5"/>
    <w:rsid w:val="00D436C7"/>
    <w:rsid w:val="00D43DBD"/>
    <w:rsid w:val="00D5234F"/>
    <w:rsid w:val="00D55ED1"/>
    <w:rsid w:val="00D57E47"/>
    <w:rsid w:val="00D66A19"/>
    <w:rsid w:val="00D80FDA"/>
    <w:rsid w:val="00DA6038"/>
    <w:rsid w:val="00DC000F"/>
    <w:rsid w:val="00DC2D56"/>
    <w:rsid w:val="00DC7785"/>
    <w:rsid w:val="00DD4D0F"/>
    <w:rsid w:val="00DD787A"/>
    <w:rsid w:val="00DE4EAE"/>
    <w:rsid w:val="00DE5DFA"/>
    <w:rsid w:val="00DE683C"/>
    <w:rsid w:val="00E07FF3"/>
    <w:rsid w:val="00E12DE7"/>
    <w:rsid w:val="00E21901"/>
    <w:rsid w:val="00E26C9F"/>
    <w:rsid w:val="00E33923"/>
    <w:rsid w:val="00E37017"/>
    <w:rsid w:val="00E41946"/>
    <w:rsid w:val="00E420A4"/>
    <w:rsid w:val="00E55774"/>
    <w:rsid w:val="00E64D17"/>
    <w:rsid w:val="00E91D67"/>
    <w:rsid w:val="00EA0F8C"/>
    <w:rsid w:val="00EA67DB"/>
    <w:rsid w:val="00ED31A4"/>
    <w:rsid w:val="00EE4FC3"/>
    <w:rsid w:val="00F060F4"/>
    <w:rsid w:val="00F11328"/>
    <w:rsid w:val="00F135F4"/>
    <w:rsid w:val="00F20A76"/>
    <w:rsid w:val="00F40067"/>
    <w:rsid w:val="00F40A9F"/>
    <w:rsid w:val="00F50210"/>
    <w:rsid w:val="00F52E9C"/>
    <w:rsid w:val="00F542A3"/>
    <w:rsid w:val="00F71967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  <w:rsid w:val="00FF4916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B24"/>
  <w15:docId w15:val="{CA404615-AC25-48B5-8EEE-8EC7475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70FC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70F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70F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0F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0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463C-E152-429F-A219-46DCDA07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Лисовский Дмитрий</cp:lastModifiedBy>
  <cp:revision>2</cp:revision>
  <dcterms:created xsi:type="dcterms:W3CDTF">2017-12-11T12:11:00Z</dcterms:created>
  <dcterms:modified xsi:type="dcterms:W3CDTF">2017-12-11T12:11:00Z</dcterms:modified>
</cp:coreProperties>
</file>